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17D0485"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576FE8">
        <w:rPr>
          <w:rFonts w:ascii="Calibri" w:hAnsi="Calibri"/>
          <w:color w:val="00558C"/>
          <w:sz w:val="24"/>
          <w:szCs w:val="24"/>
        </w:rPr>
        <w:t>ARM20</w:t>
      </w:r>
      <w:r w:rsidRPr="00A72757">
        <w:rPr>
          <w:rFonts w:ascii="Calibri" w:hAnsi="Calibri"/>
          <w:color w:val="00558C"/>
          <w:sz w:val="24"/>
          <w:szCs w:val="24"/>
        </w:rPr>
        <w:t>-</w:t>
      </w:r>
      <w:r w:rsidR="00F60DF4">
        <w:rPr>
          <w:rFonts w:ascii="Calibri" w:hAnsi="Calibri"/>
          <w:color w:val="00558C"/>
          <w:sz w:val="24"/>
          <w:szCs w:val="24"/>
        </w:rPr>
        <w:t>9.1.5</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6186F51C"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Content>
          <w:r w:rsidR="007D7661">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5FA7EEB" w:rsidR="0080294B" w:rsidRPr="006F54F8" w:rsidRDefault="00000000"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Content>
          <w:r w:rsidR="00221E08" w:rsidRPr="006F54F8">
            <w:rPr>
              <w:rFonts w:ascii="MS Gothic" w:eastAsia="MS Gothic" w:hAnsi="MS Gothic" w:cs="Arial" w:hint="eastAsia"/>
              <w:b/>
              <w:lang w:val="sv-SE"/>
            </w:rPr>
            <w:t>☐</w:t>
          </w:r>
        </w:sdtContent>
      </w:sdt>
      <w:r w:rsidR="0080294B" w:rsidRPr="006F54F8">
        <w:rPr>
          <w:rFonts w:ascii="Calibri" w:hAnsi="Calibri" w:cs="Arial"/>
          <w:lang w:val="sv-SE"/>
        </w:rPr>
        <w:t xml:space="preserve"> ENAV</w:t>
      </w:r>
      <w:r w:rsidR="0080294B" w:rsidRPr="006F54F8">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Content>
          <w:r w:rsidR="00221E08" w:rsidRPr="006F54F8">
            <w:rPr>
              <w:rFonts w:ascii="MS Gothic" w:eastAsia="MS Gothic" w:hAnsi="MS Gothic" w:cs="Arial" w:hint="eastAsia"/>
              <w:b/>
              <w:lang w:val="sv-SE"/>
            </w:rPr>
            <w:t>☐</w:t>
          </w:r>
        </w:sdtContent>
      </w:sdt>
      <w:r w:rsidR="0080294B" w:rsidRPr="006F54F8">
        <w:rPr>
          <w:rFonts w:ascii="Calibri" w:hAnsi="Calibri" w:cs="Arial"/>
          <w:lang w:val="sv-SE"/>
        </w:rPr>
        <w:t xml:space="preserve"> </w:t>
      </w:r>
      <w:r w:rsidR="003D2DC1" w:rsidRPr="006F54F8">
        <w:rPr>
          <w:rFonts w:ascii="Calibri" w:hAnsi="Calibri" w:cs="Arial"/>
          <w:lang w:val="sv-SE"/>
        </w:rPr>
        <w:t>VTS</w:t>
      </w:r>
      <w:r w:rsidR="0080294B" w:rsidRPr="006F54F8">
        <w:rPr>
          <w:rFonts w:ascii="Calibri" w:hAnsi="Calibri" w:cs="Arial"/>
          <w:lang w:val="sv-SE"/>
        </w:rPr>
        <w:tab/>
      </w:r>
      <w:r w:rsidR="0080294B" w:rsidRPr="006F54F8">
        <w:rPr>
          <w:rFonts w:ascii="Calibri" w:hAnsi="Calibri" w:cs="Arial"/>
          <w:lang w:val="sv-SE"/>
        </w:rPr>
        <w:tab/>
      </w:r>
      <w:r w:rsidR="0080294B" w:rsidRPr="006F54F8">
        <w:rPr>
          <w:rFonts w:ascii="Calibri" w:hAnsi="Calibri" w:cs="Arial"/>
          <w:lang w:val="sv-SE"/>
        </w:rPr>
        <w:tab/>
      </w:r>
      <w:r w:rsidR="0080294B" w:rsidRPr="006F54F8">
        <w:rPr>
          <w:rFonts w:ascii="Calibri" w:hAnsi="Calibri" w:cs="Arial"/>
          <w:lang w:val="sv-SE"/>
        </w:rPr>
        <w:tab/>
      </w:r>
      <w:r w:rsidR="0080294B" w:rsidRPr="006F54F8">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Content>
          <w:r w:rsidR="004C19F2" w:rsidRPr="006F54F8">
            <w:rPr>
              <w:rFonts w:ascii="MS Gothic" w:eastAsia="MS Gothic" w:hAnsi="MS Gothic" w:cs="Arial" w:hint="eastAsia"/>
              <w:b/>
              <w:lang w:val="sv-SE"/>
            </w:rPr>
            <w:t>☒</w:t>
          </w:r>
        </w:sdtContent>
      </w:sdt>
      <w:r w:rsidR="00110203" w:rsidRPr="006F54F8">
        <w:rPr>
          <w:rFonts w:ascii="Calibri" w:hAnsi="Calibri" w:cs="Arial"/>
          <w:lang w:val="sv-SE"/>
        </w:rPr>
        <w:t xml:space="preserve"> </w:t>
      </w:r>
      <w:r w:rsidR="0080294B" w:rsidRPr="006F54F8">
        <w:rPr>
          <w:rFonts w:ascii="Calibri" w:hAnsi="Calibri" w:cs="Arial"/>
          <w:lang w:val="sv-SE"/>
        </w:rPr>
        <w:t>Information</w:t>
      </w:r>
    </w:p>
    <w:p w14:paraId="3E1C02C4" w14:textId="77777777" w:rsidR="0080294B" w:rsidRPr="006F54F8" w:rsidRDefault="0080294B" w:rsidP="00FE5674">
      <w:pPr>
        <w:pStyle w:val="BodyText"/>
        <w:tabs>
          <w:tab w:val="left" w:pos="2835"/>
        </w:tabs>
        <w:rPr>
          <w:rFonts w:ascii="Calibri" w:hAnsi="Calibri"/>
          <w:lang w:val="sv-SE"/>
        </w:rPr>
      </w:pPr>
    </w:p>
    <w:p w14:paraId="4DD25FD9" w14:textId="7C684C06" w:rsidR="00A446C9" w:rsidRPr="006F54F8" w:rsidRDefault="00A446C9" w:rsidP="00FE5674">
      <w:pPr>
        <w:pStyle w:val="BodyText"/>
        <w:tabs>
          <w:tab w:val="left" w:pos="2835"/>
        </w:tabs>
        <w:rPr>
          <w:rFonts w:ascii="Calibri" w:hAnsi="Calibri"/>
          <w:lang w:val="sv-SE"/>
        </w:rPr>
      </w:pPr>
      <w:r w:rsidRPr="006F54F8">
        <w:rPr>
          <w:rFonts w:ascii="Calibri" w:hAnsi="Calibri"/>
          <w:b/>
          <w:bCs/>
          <w:color w:val="00558C"/>
          <w:sz w:val="24"/>
          <w:szCs w:val="24"/>
          <w:lang w:val="sv-SE"/>
        </w:rPr>
        <w:t>Agenda item</w:t>
      </w:r>
      <w:r w:rsidR="00037DF4" w:rsidRPr="006F54F8">
        <w:rPr>
          <w:rFonts w:ascii="Calibri" w:hAnsi="Calibri"/>
          <w:lang w:val="sv-SE"/>
        </w:rPr>
        <w:t xml:space="preserve"> </w:t>
      </w:r>
      <w:r w:rsidR="00037DF4" w:rsidRPr="007A395D">
        <w:rPr>
          <w:rStyle w:val="FootnoteReference"/>
          <w:rFonts w:ascii="Calibri" w:hAnsi="Calibri"/>
          <w:sz w:val="22"/>
        </w:rPr>
        <w:footnoteReference w:id="2"/>
      </w:r>
      <w:r w:rsidR="001C44A3" w:rsidRPr="006F54F8">
        <w:rPr>
          <w:rFonts w:ascii="Calibri" w:hAnsi="Calibri"/>
          <w:lang w:val="sv-SE"/>
        </w:rPr>
        <w:tab/>
      </w:r>
      <w:r w:rsidR="0080294B" w:rsidRPr="006F54F8">
        <w:rPr>
          <w:rFonts w:ascii="Calibri" w:hAnsi="Calibri"/>
          <w:lang w:val="sv-SE"/>
        </w:rPr>
        <w:tab/>
      </w:r>
      <w:r w:rsidR="0080294B" w:rsidRPr="006F54F8">
        <w:rPr>
          <w:rFonts w:ascii="Calibri" w:hAnsi="Calibri"/>
          <w:lang w:val="sv-SE"/>
        </w:rPr>
        <w:tab/>
      </w:r>
      <w:r w:rsidR="00E11E2E">
        <w:rPr>
          <w:rFonts w:ascii="Calibri" w:hAnsi="Calibri"/>
          <w:lang w:val="sv-SE"/>
        </w:rPr>
        <w:t>9.1</w:t>
      </w:r>
    </w:p>
    <w:p w14:paraId="01FC5420" w14:textId="4BE072E2"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C19F2">
        <w:rPr>
          <w:rFonts w:ascii="Calibri" w:hAnsi="Calibri"/>
        </w:rPr>
        <w:t xml:space="preserve">Y. Koldenhof </w:t>
      </w:r>
      <w:r w:rsidR="006F54F8">
        <w:rPr>
          <w:rFonts w:ascii="Calibri" w:hAnsi="Calibri"/>
        </w:rPr>
        <w:t xml:space="preserve">- </w:t>
      </w:r>
      <w:r w:rsidR="006F54F8" w:rsidRPr="006F54F8">
        <w:rPr>
          <w:rFonts w:ascii="Calibri" w:hAnsi="Calibri"/>
        </w:rPr>
        <w:t>MARIN</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131C24E" w:rsidR="00A446C9" w:rsidRPr="00605E43" w:rsidRDefault="004C19F2" w:rsidP="0035243F">
      <w:pPr>
        <w:pStyle w:val="Title"/>
      </w:pPr>
      <w:r>
        <w:t xml:space="preserve">Report from interssesional </w:t>
      </w:r>
      <w:r w:rsidR="00FD08E2">
        <w:t>MEETINGS</w:t>
      </w:r>
      <w:r>
        <w:t xml:space="preserve"> – REVISION Ro130</w:t>
      </w:r>
      <w:r w:rsidR="002A0929">
        <w:rPr>
          <w:rStyle w:val="FootnoteReference"/>
        </w:rPr>
        <w:footnoteReference w:id="3"/>
      </w:r>
    </w:p>
    <w:p w14:paraId="2CC2DB54" w14:textId="6165A5F5" w:rsidR="009874F9" w:rsidRPr="009874F9" w:rsidRDefault="00A446C9" w:rsidP="009874F9">
      <w:pPr>
        <w:pStyle w:val="Heading1"/>
      </w:pPr>
      <w:r w:rsidRPr="00B661C7">
        <w:t>Summary</w:t>
      </w:r>
    </w:p>
    <w:p w14:paraId="3C51BFF8" w14:textId="6070C7C7" w:rsidR="007D7661" w:rsidRDefault="007D7661" w:rsidP="00B56BDF">
      <w:pPr>
        <w:pStyle w:val="BodyText"/>
      </w:pPr>
      <w:r>
        <w:rPr>
          <w:rFonts w:ascii="Calibri" w:hAnsi="Calibri"/>
        </w:rPr>
        <w:t xml:space="preserve">During the ARM19, WG3 was asked to start a revision of </w:t>
      </w:r>
      <w:r w:rsidR="004C19F2">
        <w:rPr>
          <w:rFonts w:ascii="Calibri" w:hAnsi="Calibri"/>
        </w:rPr>
        <w:t>RO130 (</w:t>
      </w:r>
      <w:r w:rsidR="004C19F2">
        <w:rPr>
          <w:i/>
          <w:iCs/>
        </w:rPr>
        <w:t>Categorisation &amp; Availability objectives for short range aids to navigations)</w:t>
      </w:r>
      <w:r w:rsidR="004C19F2">
        <w:rPr>
          <w:rFonts w:ascii="Calibri" w:hAnsi="Calibri"/>
        </w:rPr>
        <w:t xml:space="preserve">. The is a recommendation on the availability of AtoN’s, based on </w:t>
      </w:r>
      <w:r w:rsidR="001F2039">
        <w:rPr>
          <w:rFonts w:ascii="Calibri" w:hAnsi="Calibri"/>
        </w:rPr>
        <w:t>t</w:t>
      </w:r>
      <w:r w:rsidR="004C19F2">
        <w:rPr>
          <w:rFonts w:ascii="Calibri" w:hAnsi="Calibri"/>
        </w:rPr>
        <w:t>he calculation method provided in G1035 (“</w:t>
      </w:r>
      <w:r w:rsidR="004C19F2">
        <w:rPr>
          <w:i/>
          <w:iCs/>
        </w:rPr>
        <w:t>Availability and reliability of aids to navigation theory and examples”</w:t>
      </w:r>
      <w:r w:rsidR="004C19F2" w:rsidRPr="004C19F2">
        <w:t>)</w:t>
      </w:r>
      <w:r w:rsidR="004C19F2">
        <w:t>.</w:t>
      </w:r>
    </w:p>
    <w:p w14:paraId="5986F11D" w14:textId="3B5D836A" w:rsidR="006F60FF" w:rsidRDefault="004C19F2" w:rsidP="00B56BDF">
      <w:pPr>
        <w:pStyle w:val="BodyText"/>
      </w:pPr>
      <w:r>
        <w:t xml:space="preserve">This document provides a summary of the two intersessional meeting that were held (online) </w:t>
      </w:r>
      <w:r w:rsidR="001F2039">
        <w:t>o</w:t>
      </w:r>
      <w:r>
        <w:t xml:space="preserve">n </w:t>
      </w:r>
      <w:r w:rsidR="001F2039">
        <w:t>29</w:t>
      </w:r>
      <w:r w:rsidR="001F2039" w:rsidRPr="00C44CF0">
        <w:rPr>
          <w:vertAlign w:val="superscript"/>
        </w:rPr>
        <w:t>th</w:t>
      </w:r>
      <w:r w:rsidR="001F2039">
        <w:t xml:space="preserve">  </w:t>
      </w:r>
      <w:r>
        <w:t xml:space="preserve">January 2025 and </w:t>
      </w:r>
      <w:r w:rsidR="001F2039">
        <w:t>27</w:t>
      </w:r>
      <w:r w:rsidR="001F2039" w:rsidRPr="00C44CF0">
        <w:rPr>
          <w:vertAlign w:val="superscript"/>
        </w:rPr>
        <w:t>th</w:t>
      </w:r>
      <w:r w:rsidR="001F2039">
        <w:t xml:space="preserve">  </w:t>
      </w:r>
      <w:r>
        <w:t>February 2025.</w:t>
      </w:r>
    </w:p>
    <w:p w14:paraId="3C575A26" w14:textId="7D1313FD" w:rsidR="001C44A3" w:rsidRPr="00605E43" w:rsidRDefault="00BD4E6F" w:rsidP="00605E43">
      <w:pPr>
        <w:pStyle w:val="Heading2"/>
      </w:pPr>
      <w:r w:rsidRPr="00605E43">
        <w:t>Purpose</w:t>
      </w:r>
      <w:r w:rsidR="004D1D85" w:rsidRPr="00605E43">
        <w:t xml:space="preserve"> of the document</w:t>
      </w:r>
    </w:p>
    <w:p w14:paraId="3AE5692D" w14:textId="06CD0557" w:rsidR="006F60FF" w:rsidRPr="007A395D" w:rsidRDefault="004C19F2" w:rsidP="00E55927">
      <w:pPr>
        <w:pStyle w:val="BodyText"/>
        <w:rPr>
          <w:rFonts w:ascii="Calibri" w:hAnsi="Calibri"/>
        </w:rPr>
      </w:pPr>
      <w:r>
        <w:rPr>
          <w:rFonts w:ascii="Calibri" w:hAnsi="Calibri"/>
        </w:rPr>
        <w:t>I</w:t>
      </w:r>
      <w:r w:rsidR="0041088C" w:rsidRPr="007A395D">
        <w:rPr>
          <w:rFonts w:ascii="Calibri" w:hAnsi="Calibri"/>
        </w:rPr>
        <w:t>nformation paper</w:t>
      </w:r>
    </w:p>
    <w:p w14:paraId="36D645BE" w14:textId="77777777" w:rsidR="00B56BDF" w:rsidRPr="007A395D" w:rsidRDefault="00B56BDF" w:rsidP="00605E43">
      <w:pPr>
        <w:pStyle w:val="Heading2"/>
      </w:pPr>
      <w:r w:rsidRPr="007A395D">
        <w:t>Related documents</w:t>
      </w:r>
    </w:p>
    <w:p w14:paraId="4BB77F82" w14:textId="64AA5435" w:rsidR="006F60FF" w:rsidRPr="00F60DF4" w:rsidRDefault="004C19F2" w:rsidP="00E55927">
      <w:pPr>
        <w:pStyle w:val="BodyText"/>
        <w:rPr>
          <w:i/>
          <w:iCs/>
        </w:rPr>
      </w:pPr>
      <w:r>
        <w:rPr>
          <w:rFonts w:ascii="Calibri" w:hAnsi="Calibri"/>
        </w:rPr>
        <w:t>RO130 (</w:t>
      </w:r>
      <w:r>
        <w:rPr>
          <w:i/>
          <w:iCs/>
        </w:rPr>
        <w:t>Categorisation &amp; Availability objectives for short range aids to navigations)</w:t>
      </w:r>
    </w:p>
    <w:p w14:paraId="53733F03" w14:textId="77777777" w:rsidR="00A446C9" w:rsidRPr="007A395D" w:rsidRDefault="00A446C9" w:rsidP="00605E43">
      <w:pPr>
        <w:pStyle w:val="Heading1"/>
      </w:pPr>
      <w:r w:rsidRPr="007A395D">
        <w:t>Background</w:t>
      </w:r>
    </w:p>
    <w:p w14:paraId="26E80D03" w14:textId="3B2721C6" w:rsidR="004C19F2" w:rsidRDefault="004C19F2" w:rsidP="004C19F2">
      <w:pPr>
        <w:pStyle w:val="BodyText"/>
      </w:pPr>
      <w:r>
        <w:rPr>
          <w:rFonts w:ascii="Calibri" w:hAnsi="Calibri"/>
        </w:rPr>
        <w:t>During the ARM19, WG3 was asked to start a revision of RO130 (</w:t>
      </w:r>
      <w:r>
        <w:rPr>
          <w:i/>
          <w:iCs/>
        </w:rPr>
        <w:t>Categorisation &amp; Availability objectives for short range aids to navigations)</w:t>
      </w:r>
      <w:r>
        <w:rPr>
          <w:rFonts w:ascii="Calibri" w:hAnsi="Calibri"/>
        </w:rPr>
        <w:t xml:space="preserve">. The is a recommendation on the availability of AtoN’s, based on </w:t>
      </w:r>
      <w:r w:rsidR="001F2039">
        <w:rPr>
          <w:rFonts w:ascii="Calibri" w:hAnsi="Calibri"/>
        </w:rPr>
        <w:t>t</w:t>
      </w:r>
      <w:r>
        <w:rPr>
          <w:rFonts w:ascii="Calibri" w:hAnsi="Calibri"/>
        </w:rPr>
        <w:t>he calculation method provided in G1035 (“</w:t>
      </w:r>
      <w:r>
        <w:rPr>
          <w:i/>
          <w:iCs/>
        </w:rPr>
        <w:t>Availability and reliability of aids to navigation theory and examples”</w:t>
      </w:r>
      <w:r w:rsidRPr="004C19F2">
        <w:t>)</w:t>
      </w:r>
      <w:r>
        <w:t>.</w:t>
      </w:r>
    </w:p>
    <w:p w14:paraId="07452EBC" w14:textId="03444CFE" w:rsidR="00A446C9" w:rsidRPr="001C77BB" w:rsidRDefault="004C19F2" w:rsidP="00A446C9">
      <w:pPr>
        <w:pStyle w:val="BodyText"/>
        <w:rPr>
          <w:rFonts w:ascii="Calibri" w:hAnsi="Calibri"/>
        </w:rPr>
      </w:pPr>
      <w:r>
        <w:t>During the ARM19 initial discussions were held and a call was made to ARM to volunteer in two intersessional meeting to prepare the ARM20 discussion on the topic.</w:t>
      </w:r>
    </w:p>
    <w:p w14:paraId="429E7E2F" w14:textId="0E6F712B" w:rsidR="004C19F2" w:rsidRPr="00F60DF4" w:rsidRDefault="004C19F2" w:rsidP="00A446C9">
      <w:pPr>
        <w:pStyle w:val="Heading1"/>
      </w:pPr>
      <w:r>
        <w:t>Summary Minutes of Meeting</w:t>
      </w:r>
    </w:p>
    <w:p w14:paraId="309EDC74" w14:textId="5A19E4B7" w:rsidR="004C19F2" w:rsidRDefault="004C19F2" w:rsidP="00A446C9">
      <w:pPr>
        <w:pStyle w:val="BodyText"/>
        <w:rPr>
          <w:rFonts w:ascii="Calibri" w:hAnsi="Calibri"/>
        </w:rPr>
      </w:pPr>
      <w:r>
        <w:rPr>
          <w:rFonts w:ascii="Calibri" w:hAnsi="Calibri"/>
        </w:rPr>
        <w:t xml:space="preserve">The first meeting was held on </w:t>
      </w:r>
      <w:r w:rsidR="001F2039">
        <w:rPr>
          <w:rFonts w:ascii="Calibri" w:hAnsi="Calibri"/>
        </w:rPr>
        <w:t>29</w:t>
      </w:r>
      <w:r w:rsidR="001F2039" w:rsidRPr="00C44CF0">
        <w:rPr>
          <w:rFonts w:ascii="Calibri" w:hAnsi="Calibri"/>
          <w:vertAlign w:val="superscript"/>
        </w:rPr>
        <w:t>th</w:t>
      </w:r>
      <w:r w:rsidR="001F2039">
        <w:rPr>
          <w:rFonts w:ascii="Calibri" w:hAnsi="Calibri"/>
        </w:rPr>
        <w:t xml:space="preserve"> </w:t>
      </w:r>
      <w:r>
        <w:rPr>
          <w:rFonts w:ascii="Calibri" w:hAnsi="Calibri"/>
        </w:rPr>
        <w:t xml:space="preserve"> January 2025.</w:t>
      </w:r>
    </w:p>
    <w:p w14:paraId="3139D0FC" w14:textId="3D5DDF81" w:rsidR="004C19F2" w:rsidRDefault="000F2416" w:rsidP="00A446C9">
      <w:pPr>
        <w:pStyle w:val="BodyText"/>
        <w:rPr>
          <w:rFonts w:ascii="Calibri" w:hAnsi="Calibri"/>
        </w:rPr>
      </w:pPr>
      <w:r>
        <w:rPr>
          <w:rFonts w:ascii="Calibri" w:hAnsi="Calibri"/>
        </w:rPr>
        <w:t xml:space="preserve">During this meeting the goal of the preparation work between ARM19 and ARM20 was discussed. And this will be </w:t>
      </w:r>
      <w:r w:rsidRPr="000F2416">
        <w:rPr>
          <w:rFonts w:ascii="Calibri" w:hAnsi="Calibri"/>
        </w:rPr>
        <w:t>provid</w:t>
      </w:r>
      <w:r>
        <w:rPr>
          <w:rFonts w:ascii="Calibri" w:hAnsi="Calibri"/>
        </w:rPr>
        <w:t>ing</w:t>
      </w:r>
      <w:r w:rsidRPr="000F2416">
        <w:rPr>
          <w:rFonts w:ascii="Calibri" w:hAnsi="Calibri"/>
        </w:rPr>
        <w:t xml:space="preserve"> a framework for the revision</w:t>
      </w:r>
      <w:r>
        <w:rPr>
          <w:rFonts w:ascii="Calibri" w:hAnsi="Calibri"/>
        </w:rPr>
        <w:t xml:space="preserve">. Next to that we discussed that “theoretical” way how Availability of AtoNs could be connected to the risk management in a fairway. </w:t>
      </w:r>
    </w:p>
    <w:p w14:paraId="38FBB7EA" w14:textId="77777777" w:rsidR="000F2416" w:rsidRDefault="000F2416" w:rsidP="00A446C9">
      <w:pPr>
        <w:pStyle w:val="BodyText"/>
        <w:rPr>
          <w:rFonts w:ascii="Calibri" w:hAnsi="Calibri"/>
        </w:rPr>
      </w:pPr>
    </w:p>
    <w:p w14:paraId="0EF7453A" w14:textId="653FBAC2" w:rsidR="000F2416" w:rsidRDefault="000F2416" w:rsidP="00A446C9">
      <w:pPr>
        <w:pStyle w:val="BodyText"/>
        <w:rPr>
          <w:rFonts w:ascii="Calibri" w:hAnsi="Calibri"/>
        </w:rPr>
      </w:pPr>
      <w:r>
        <w:rPr>
          <w:rFonts w:ascii="Calibri" w:hAnsi="Calibri"/>
        </w:rPr>
        <w:t xml:space="preserve">A second meeting was held on </w:t>
      </w:r>
      <w:r w:rsidR="001F2039">
        <w:rPr>
          <w:rFonts w:ascii="Calibri" w:hAnsi="Calibri"/>
        </w:rPr>
        <w:t>27</w:t>
      </w:r>
      <w:r w:rsidR="001F2039" w:rsidRPr="00C44CF0">
        <w:rPr>
          <w:rFonts w:ascii="Calibri" w:hAnsi="Calibri"/>
          <w:vertAlign w:val="superscript"/>
        </w:rPr>
        <w:t>th</w:t>
      </w:r>
      <w:r w:rsidR="001F2039">
        <w:rPr>
          <w:rFonts w:ascii="Calibri" w:hAnsi="Calibri"/>
        </w:rPr>
        <w:t xml:space="preserve">  </w:t>
      </w:r>
      <w:r>
        <w:rPr>
          <w:rFonts w:ascii="Calibri" w:hAnsi="Calibri"/>
        </w:rPr>
        <w:t>February 2029.</w:t>
      </w:r>
    </w:p>
    <w:p w14:paraId="2351E6EA" w14:textId="2643318B" w:rsidR="000F2416" w:rsidRPr="000F2416" w:rsidRDefault="000F2416" w:rsidP="000F2416">
      <w:pPr>
        <w:pStyle w:val="BodyText"/>
        <w:rPr>
          <w:rFonts w:ascii="Calibri" w:hAnsi="Calibri"/>
          <w:lang w:val="en-US"/>
        </w:rPr>
      </w:pPr>
      <w:r>
        <w:rPr>
          <w:rFonts w:ascii="Calibri" w:hAnsi="Calibri"/>
        </w:rPr>
        <w:t>During this meeting we discussed that the “theoretical” ideas will not be practical applicable. And that our first main focus should be on the “categorisation” of the AtoNs. It was recognized that</w:t>
      </w:r>
      <w:r w:rsidRPr="000F2416">
        <w:rPr>
          <w:rFonts w:ascii="Calibri" w:hAnsi="Calibri"/>
          <w:lang w:val="en-US"/>
        </w:rPr>
        <w:t xml:space="preserve"> these categories are used in (many) other documents of IALA, so </w:t>
      </w:r>
      <w:r>
        <w:rPr>
          <w:rFonts w:ascii="Calibri" w:hAnsi="Calibri"/>
          <w:lang w:val="en-US"/>
        </w:rPr>
        <w:t xml:space="preserve">it is important </w:t>
      </w:r>
      <w:r w:rsidRPr="000F2416">
        <w:rPr>
          <w:rFonts w:ascii="Calibri" w:hAnsi="Calibri"/>
          <w:lang w:val="en-US"/>
        </w:rPr>
        <w:t xml:space="preserve">make sure that </w:t>
      </w:r>
      <w:r>
        <w:rPr>
          <w:rFonts w:ascii="Calibri" w:hAnsi="Calibri"/>
          <w:lang w:val="en-US"/>
        </w:rPr>
        <w:t xml:space="preserve">it is </w:t>
      </w:r>
      <w:r w:rsidRPr="000F2416">
        <w:rPr>
          <w:rFonts w:ascii="Calibri" w:hAnsi="Calibri"/>
          <w:lang w:val="en-US"/>
        </w:rPr>
        <w:t>know</w:t>
      </w:r>
      <w:r>
        <w:rPr>
          <w:rFonts w:ascii="Calibri" w:hAnsi="Calibri"/>
          <w:lang w:val="en-US"/>
        </w:rPr>
        <w:t>n what</w:t>
      </w:r>
      <w:r w:rsidRPr="000F2416">
        <w:rPr>
          <w:rFonts w:ascii="Calibri" w:hAnsi="Calibri"/>
          <w:lang w:val="en-US"/>
        </w:rPr>
        <w:t xml:space="preserve"> the implications of possible changes/refinements in the definitions</w:t>
      </w:r>
      <w:r>
        <w:rPr>
          <w:rFonts w:ascii="Calibri" w:hAnsi="Calibri"/>
          <w:lang w:val="en-US"/>
        </w:rPr>
        <w:t xml:space="preserve"> are</w:t>
      </w:r>
      <w:r w:rsidRPr="000F2416">
        <w:rPr>
          <w:rFonts w:ascii="Calibri" w:hAnsi="Calibri"/>
          <w:lang w:val="en-US"/>
        </w:rPr>
        <w:t>.</w:t>
      </w:r>
    </w:p>
    <w:p w14:paraId="5795DA69" w14:textId="3EAE23DF" w:rsidR="000F2416" w:rsidRDefault="000F2416" w:rsidP="000F2416">
      <w:pPr>
        <w:pStyle w:val="BodyText"/>
        <w:rPr>
          <w:rFonts w:ascii="Calibri" w:hAnsi="Calibri"/>
          <w:lang w:val="en-US"/>
        </w:rPr>
      </w:pPr>
      <w:r w:rsidRPr="000F2416">
        <w:rPr>
          <w:rFonts w:ascii="Calibri" w:hAnsi="Calibri"/>
          <w:lang w:val="en-US"/>
        </w:rPr>
        <w:t xml:space="preserve">Next to that </w:t>
      </w:r>
      <w:r>
        <w:rPr>
          <w:rFonts w:ascii="Calibri" w:hAnsi="Calibri"/>
          <w:lang w:val="en-US"/>
        </w:rPr>
        <w:t xml:space="preserve">it is recognized that </w:t>
      </w:r>
      <w:r w:rsidRPr="000F2416">
        <w:rPr>
          <w:rFonts w:ascii="Calibri" w:hAnsi="Calibri"/>
          <w:lang w:val="en-US"/>
        </w:rPr>
        <w:t>different members of IALA have already defined categories within their administrations</w:t>
      </w:r>
      <w:r>
        <w:rPr>
          <w:rFonts w:ascii="Calibri" w:hAnsi="Calibri"/>
          <w:lang w:val="en-US"/>
        </w:rPr>
        <w:t>, both for AtoN and for fairways</w:t>
      </w:r>
      <w:r w:rsidRPr="000F2416">
        <w:rPr>
          <w:rFonts w:ascii="Calibri" w:hAnsi="Calibri"/>
          <w:lang w:val="en-US"/>
        </w:rPr>
        <w:t>.</w:t>
      </w:r>
    </w:p>
    <w:p w14:paraId="5ADCCE84" w14:textId="7A264A59" w:rsidR="000F2416" w:rsidRDefault="000F2416" w:rsidP="000F2416">
      <w:pPr>
        <w:pStyle w:val="BodyText"/>
        <w:rPr>
          <w:rFonts w:ascii="Calibri" w:hAnsi="Calibri"/>
          <w:lang w:val="en-US"/>
        </w:rPr>
      </w:pPr>
      <w:r>
        <w:rPr>
          <w:rFonts w:ascii="Calibri" w:hAnsi="Calibri"/>
          <w:lang w:val="en-US"/>
        </w:rPr>
        <w:t>Therefor</w:t>
      </w:r>
      <w:r w:rsidR="001F2039">
        <w:rPr>
          <w:rFonts w:ascii="Calibri" w:hAnsi="Calibri"/>
          <w:lang w:val="en-US"/>
        </w:rPr>
        <w:t>e</w:t>
      </w:r>
      <w:r>
        <w:rPr>
          <w:rFonts w:ascii="Calibri" w:hAnsi="Calibri"/>
          <w:lang w:val="en-US"/>
        </w:rPr>
        <w:t xml:space="preserve"> the following steps are proposed:</w:t>
      </w:r>
    </w:p>
    <w:p w14:paraId="520F9DC7" w14:textId="77777777" w:rsidR="000F2416" w:rsidRDefault="000F2416" w:rsidP="00BC3A36">
      <w:pPr>
        <w:pStyle w:val="List1"/>
        <w:suppressAutoHyphens/>
        <w:rPr>
          <w:rFonts w:eastAsiaTheme="minorHAnsi" w:cstheme="minorBidi"/>
          <w:szCs w:val="22"/>
          <w:lang w:eastAsia="en-US"/>
        </w:rPr>
      </w:pPr>
      <w:r w:rsidRPr="000F2416">
        <w:rPr>
          <w:rFonts w:eastAsiaTheme="minorHAnsi" w:cstheme="minorBidi"/>
          <w:szCs w:val="22"/>
          <w:lang w:eastAsia="en-US"/>
        </w:rPr>
        <w:t>Gather examples how different IALA-members categorize their AtoNs. And how they establish these categories.</w:t>
      </w:r>
    </w:p>
    <w:p w14:paraId="0A48E830" w14:textId="77777777" w:rsidR="000F2416" w:rsidRDefault="000F2416" w:rsidP="00EA30E1">
      <w:pPr>
        <w:pStyle w:val="List1"/>
        <w:suppressAutoHyphens/>
        <w:rPr>
          <w:rFonts w:eastAsiaTheme="minorHAnsi" w:cstheme="minorBidi"/>
          <w:szCs w:val="22"/>
          <w:lang w:eastAsia="en-US"/>
        </w:rPr>
      </w:pPr>
      <w:r w:rsidRPr="000F2416">
        <w:rPr>
          <w:rFonts w:eastAsiaTheme="minorHAnsi" w:cstheme="minorBidi"/>
          <w:szCs w:val="22"/>
          <w:lang w:eastAsia="en-US"/>
        </w:rPr>
        <w:t>Investigate the connection to other existing IALA documents</w:t>
      </w:r>
    </w:p>
    <w:p w14:paraId="5956D0FC" w14:textId="49823A6B" w:rsidR="000F2416" w:rsidRDefault="000F2416" w:rsidP="00F821F3">
      <w:pPr>
        <w:pStyle w:val="List1"/>
        <w:suppressAutoHyphens/>
        <w:rPr>
          <w:rFonts w:eastAsiaTheme="minorHAnsi" w:cstheme="minorBidi"/>
          <w:szCs w:val="22"/>
          <w:lang w:eastAsia="en-US"/>
        </w:rPr>
      </w:pPr>
      <w:r w:rsidRPr="000F2416">
        <w:rPr>
          <w:rFonts w:eastAsiaTheme="minorHAnsi" w:cstheme="minorBidi"/>
          <w:szCs w:val="22"/>
          <w:lang w:eastAsia="en-US"/>
        </w:rPr>
        <w:t xml:space="preserve">Connection with Risk-Assessment </w:t>
      </w:r>
      <w:r w:rsidR="001F2039">
        <w:rPr>
          <w:rFonts w:eastAsiaTheme="minorHAnsi" w:cstheme="minorBidi"/>
          <w:szCs w:val="22"/>
          <w:lang w:eastAsia="en-US"/>
        </w:rPr>
        <w:t>and</w:t>
      </w:r>
      <w:r w:rsidR="001F2039" w:rsidRPr="000F2416">
        <w:rPr>
          <w:rFonts w:eastAsiaTheme="minorHAnsi" w:cstheme="minorBidi"/>
          <w:szCs w:val="22"/>
          <w:lang w:eastAsia="en-US"/>
        </w:rPr>
        <w:t xml:space="preserve"> </w:t>
      </w:r>
      <w:r w:rsidRPr="000F2416">
        <w:rPr>
          <w:rFonts w:eastAsiaTheme="minorHAnsi" w:cstheme="minorBidi"/>
          <w:szCs w:val="22"/>
          <w:lang w:eastAsia="en-US"/>
        </w:rPr>
        <w:t>investigate risk based methods to define categories of AtoN</w:t>
      </w:r>
    </w:p>
    <w:p w14:paraId="60226005" w14:textId="7A10A1AB" w:rsidR="004C19F2" w:rsidRPr="00F60DF4" w:rsidRDefault="000F2416" w:rsidP="00A446C9">
      <w:pPr>
        <w:pStyle w:val="List1"/>
        <w:suppressAutoHyphens/>
        <w:rPr>
          <w:rFonts w:eastAsiaTheme="minorHAnsi" w:cstheme="minorBidi"/>
          <w:szCs w:val="22"/>
          <w:lang w:eastAsia="en-US"/>
        </w:rPr>
      </w:pPr>
      <w:r w:rsidRPr="000F2416">
        <w:rPr>
          <w:rFonts w:eastAsiaTheme="minorHAnsi" w:cstheme="minorBidi"/>
          <w:szCs w:val="22"/>
          <w:lang w:eastAsia="en-US"/>
        </w:rPr>
        <w:t>Adjust definitions/terminology</w:t>
      </w:r>
    </w:p>
    <w:p w14:paraId="1D083D92" w14:textId="77777777" w:rsidR="00180DDA" w:rsidRPr="007A395D" w:rsidRDefault="00180DDA" w:rsidP="00605E43">
      <w:pPr>
        <w:pStyle w:val="Heading1"/>
      </w:pPr>
      <w:r w:rsidRPr="007A395D">
        <w:t>References</w:t>
      </w:r>
    </w:p>
    <w:p w14:paraId="31A2DEF4" w14:textId="77777777" w:rsidR="006F60FF" w:rsidRPr="006F60FF" w:rsidRDefault="006F60FF" w:rsidP="006F60FF">
      <w:pPr>
        <w:pStyle w:val="Reference"/>
      </w:pPr>
      <w:r w:rsidRPr="006F60FF">
        <w:t>G 1035</w:t>
      </w:r>
    </w:p>
    <w:p w14:paraId="28980D9A" w14:textId="3411552F" w:rsidR="006F60FF" w:rsidRPr="006F60FF" w:rsidRDefault="006F60FF" w:rsidP="00F60DF4">
      <w:pPr>
        <w:pStyle w:val="Reference"/>
      </w:pPr>
      <w:r w:rsidRPr="006F60FF">
        <w:t>R 0130</w:t>
      </w:r>
    </w:p>
    <w:p w14:paraId="7A8D2F27" w14:textId="77777777" w:rsidR="00A446C9" w:rsidRPr="007A395D" w:rsidRDefault="00A446C9" w:rsidP="00605E43">
      <w:pPr>
        <w:pStyle w:val="Heading1"/>
      </w:pPr>
      <w:r w:rsidRPr="007A395D">
        <w:t>Action requested of the Committee</w:t>
      </w:r>
    </w:p>
    <w:p w14:paraId="38321D82" w14:textId="77777777" w:rsidR="006F60FF" w:rsidRDefault="006F60FF" w:rsidP="006F60FF">
      <w:pPr>
        <w:pStyle w:val="BodyText"/>
        <w:rPr>
          <w:rFonts w:ascii="Calibri" w:eastAsia="Calibri" w:hAnsi="Calibri" w:cs="Calibri"/>
        </w:rPr>
      </w:pPr>
      <w:r>
        <w:rPr>
          <w:rFonts w:ascii="Calibri" w:hAnsi="Calibri"/>
        </w:rPr>
        <w:t>The Committee is requested to: (Body text)</w:t>
      </w:r>
    </w:p>
    <w:p w14:paraId="75A2E841" w14:textId="49AFE2A8" w:rsidR="006F60FF" w:rsidRDefault="006F60FF" w:rsidP="006F60FF">
      <w:pPr>
        <w:pStyle w:val="List1"/>
        <w:numPr>
          <w:ilvl w:val="0"/>
          <w:numId w:val="78"/>
        </w:numPr>
      </w:pPr>
      <w:r>
        <w:t xml:space="preserve">To take </w:t>
      </w:r>
      <w:r w:rsidR="001F2039">
        <w:t xml:space="preserve">note </w:t>
      </w:r>
      <w:r>
        <w:t xml:space="preserve">of the </w:t>
      </w:r>
      <w:r w:rsidR="004A267D">
        <w:t xml:space="preserve">Information </w:t>
      </w:r>
      <w:r>
        <w:t>Paper</w:t>
      </w:r>
    </w:p>
    <w:p w14:paraId="0CD8DACE" w14:textId="77777777" w:rsidR="006F60FF" w:rsidRDefault="006F60FF" w:rsidP="006F60FF">
      <w:pPr>
        <w:pStyle w:val="List1"/>
        <w:numPr>
          <w:ilvl w:val="0"/>
          <w:numId w:val="0"/>
        </w:numPr>
        <w:ind w:left="567"/>
      </w:pPr>
    </w:p>
    <w:p w14:paraId="5D127AAF" w14:textId="77777777" w:rsidR="006F60FF" w:rsidRDefault="006F60FF">
      <w:pPr>
        <w:spacing w:line="240" w:lineRule="auto"/>
        <w:rPr>
          <w:b/>
          <w:caps/>
          <w:color w:val="00558C"/>
          <w:sz w:val="28"/>
        </w:rPr>
      </w:pPr>
      <w:r>
        <w:br w:type="page"/>
      </w:r>
    </w:p>
    <w:p w14:paraId="70F8912F" w14:textId="239D1A9B" w:rsidR="000005D3" w:rsidRDefault="006F60FF" w:rsidP="00605E43">
      <w:pPr>
        <w:pStyle w:val="Annex"/>
      </w:pPr>
      <w:r>
        <w:lastRenderedPageBreak/>
        <w:t>Initial list of IALA-document with reference to cathegorisation of ATON form Ro130</w:t>
      </w:r>
    </w:p>
    <w:p w14:paraId="5304091F" w14:textId="77777777" w:rsidR="006F60FF" w:rsidRPr="006F60FF" w:rsidRDefault="006F60FF" w:rsidP="006F60FF">
      <w:pPr>
        <w:pStyle w:val="BodyText"/>
        <w:numPr>
          <w:ilvl w:val="0"/>
          <w:numId w:val="79"/>
        </w:numPr>
        <w:rPr>
          <w:i/>
          <w:iCs/>
        </w:rPr>
      </w:pPr>
      <w:r w:rsidRPr="006F60FF">
        <w:rPr>
          <w:i/>
          <w:iCs/>
        </w:rPr>
        <w:t>Navguide</w:t>
      </w:r>
    </w:p>
    <w:p w14:paraId="5CDEC67F" w14:textId="77777777" w:rsidR="006F60FF" w:rsidRPr="006F60FF" w:rsidRDefault="006F60FF" w:rsidP="006F60FF">
      <w:pPr>
        <w:pStyle w:val="BodyText"/>
        <w:numPr>
          <w:ilvl w:val="0"/>
          <w:numId w:val="79"/>
        </w:numPr>
        <w:rPr>
          <w:i/>
          <w:iCs/>
        </w:rPr>
      </w:pPr>
      <w:r w:rsidRPr="006F60FF">
        <w:rPr>
          <w:i/>
          <w:iCs/>
        </w:rPr>
        <w:t>R0130</w:t>
      </w:r>
    </w:p>
    <w:p w14:paraId="6971E6FA" w14:textId="77777777" w:rsidR="006F60FF" w:rsidRPr="006F60FF" w:rsidRDefault="006F60FF" w:rsidP="006F60FF">
      <w:pPr>
        <w:pStyle w:val="BodyText"/>
        <w:numPr>
          <w:ilvl w:val="0"/>
          <w:numId w:val="79"/>
        </w:numPr>
        <w:rPr>
          <w:i/>
          <w:iCs/>
        </w:rPr>
      </w:pPr>
      <w:r w:rsidRPr="006F60FF">
        <w:rPr>
          <w:i/>
          <w:iCs/>
        </w:rPr>
        <w:t>G1004</w:t>
      </w:r>
    </w:p>
    <w:p w14:paraId="51B6F3CA" w14:textId="77777777" w:rsidR="006F60FF" w:rsidRPr="006F60FF" w:rsidRDefault="006F60FF" w:rsidP="006F60FF">
      <w:pPr>
        <w:pStyle w:val="BodyText"/>
        <w:numPr>
          <w:ilvl w:val="0"/>
          <w:numId w:val="79"/>
        </w:numPr>
        <w:rPr>
          <w:i/>
          <w:iCs/>
        </w:rPr>
      </w:pPr>
      <w:r w:rsidRPr="006F60FF">
        <w:rPr>
          <w:i/>
          <w:iCs/>
        </w:rPr>
        <w:t>G1035</w:t>
      </w:r>
    </w:p>
    <w:p w14:paraId="72B36698" w14:textId="77777777" w:rsidR="006F60FF" w:rsidRPr="006F60FF" w:rsidRDefault="006F60FF" w:rsidP="006F60FF">
      <w:pPr>
        <w:pStyle w:val="BodyText"/>
        <w:numPr>
          <w:ilvl w:val="0"/>
          <w:numId w:val="79"/>
        </w:numPr>
        <w:rPr>
          <w:i/>
          <w:iCs/>
        </w:rPr>
      </w:pPr>
      <w:r w:rsidRPr="006F60FF">
        <w:rPr>
          <w:i/>
          <w:iCs/>
        </w:rPr>
        <w:t>G1037</w:t>
      </w:r>
    </w:p>
    <w:p w14:paraId="6773C9BB" w14:textId="77777777" w:rsidR="006F60FF" w:rsidRPr="006F60FF" w:rsidRDefault="006F60FF" w:rsidP="006F60FF">
      <w:pPr>
        <w:pStyle w:val="BodyText"/>
        <w:numPr>
          <w:ilvl w:val="0"/>
          <w:numId w:val="79"/>
        </w:numPr>
        <w:rPr>
          <w:i/>
          <w:iCs/>
        </w:rPr>
      </w:pPr>
      <w:r w:rsidRPr="006F60FF">
        <w:rPr>
          <w:i/>
          <w:iCs/>
        </w:rPr>
        <w:t>G1178</w:t>
      </w:r>
    </w:p>
    <w:p w14:paraId="600EF628" w14:textId="77777777" w:rsidR="006F60FF" w:rsidRPr="006F60FF" w:rsidRDefault="006F60FF" w:rsidP="006F60FF">
      <w:pPr>
        <w:pStyle w:val="BodyText"/>
        <w:numPr>
          <w:ilvl w:val="0"/>
          <w:numId w:val="79"/>
        </w:numPr>
        <w:rPr>
          <w:i/>
          <w:iCs/>
        </w:rPr>
      </w:pPr>
      <w:r w:rsidRPr="006F60FF">
        <w:rPr>
          <w:i/>
          <w:iCs/>
        </w:rPr>
        <w:t>G1081</w:t>
      </w:r>
    </w:p>
    <w:p w14:paraId="39063399" w14:textId="77777777" w:rsidR="006F60FF" w:rsidRPr="006F60FF" w:rsidRDefault="006F60FF" w:rsidP="006F60FF">
      <w:pPr>
        <w:pStyle w:val="BodyText"/>
        <w:numPr>
          <w:ilvl w:val="0"/>
          <w:numId w:val="79"/>
        </w:numPr>
        <w:rPr>
          <w:i/>
          <w:iCs/>
        </w:rPr>
      </w:pPr>
      <w:r w:rsidRPr="006F60FF">
        <w:rPr>
          <w:i/>
          <w:iCs/>
        </w:rPr>
        <w:t>G1162</w:t>
      </w:r>
    </w:p>
    <w:p w14:paraId="3DF650F8" w14:textId="77777777" w:rsidR="006F60FF" w:rsidRPr="006F60FF" w:rsidRDefault="006F60FF" w:rsidP="006F60FF">
      <w:pPr>
        <w:pStyle w:val="BodyText"/>
        <w:numPr>
          <w:ilvl w:val="0"/>
          <w:numId w:val="79"/>
        </w:numPr>
        <w:rPr>
          <w:i/>
          <w:iCs/>
        </w:rPr>
      </w:pPr>
      <w:r w:rsidRPr="006F60FF">
        <w:rPr>
          <w:i/>
          <w:iCs/>
        </w:rPr>
        <w:t>G1078</w:t>
      </w:r>
    </w:p>
    <w:p w14:paraId="2D8D1283" w14:textId="77777777" w:rsidR="006F60FF" w:rsidRPr="006F60FF" w:rsidRDefault="006F60FF" w:rsidP="006F60FF">
      <w:pPr>
        <w:pStyle w:val="BodyText"/>
        <w:numPr>
          <w:ilvl w:val="0"/>
          <w:numId w:val="79"/>
        </w:numPr>
        <w:rPr>
          <w:i/>
          <w:iCs/>
        </w:rPr>
      </w:pPr>
      <w:r w:rsidRPr="006F60FF">
        <w:rPr>
          <w:i/>
          <w:iCs/>
        </w:rPr>
        <w:t>G1163</w:t>
      </w:r>
    </w:p>
    <w:p w14:paraId="180BEBF5" w14:textId="77777777" w:rsidR="006F60FF" w:rsidRPr="006F60FF" w:rsidRDefault="006F60FF" w:rsidP="006F60FF">
      <w:pPr>
        <w:pStyle w:val="BodyText"/>
        <w:numPr>
          <w:ilvl w:val="0"/>
          <w:numId w:val="79"/>
        </w:numPr>
        <w:rPr>
          <w:i/>
          <w:iCs/>
        </w:rPr>
      </w:pPr>
      <w:r w:rsidRPr="006F60FF">
        <w:rPr>
          <w:i/>
          <w:iCs/>
        </w:rPr>
        <w:t>G1172</w:t>
      </w:r>
    </w:p>
    <w:p w14:paraId="1C67CA9B" w14:textId="77777777" w:rsidR="006F60FF" w:rsidRPr="006F60FF" w:rsidRDefault="006F60FF" w:rsidP="006F60FF">
      <w:pPr>
        <w:pStyle w:val="BodyText"/>
        <w:numPr>
          <w:ilvl w:val="0"/>
          <w:numId w:val="79"/>
        </w:numPr>
        <w:rPr>
          <w:i/>
          <w:iCs/>
        </w:rPr>
      </w:pPr>
      <w:r w:rsidRPr="006F60FF">
        <w:rPr>
          <w:i/>
          <w:iCs/>
        </w:rPr>
        <w:t>G1052</w:t>
      </w:r>
    </w:p>
    <w:p w14:paraId="54D4636A" w14:textId="77777777" w:rsidR="006F60FF" w:rsidRPr="006F60FF" w:rsidRDefault="006F60FF" w:rsidP="006F60FF">
      <w:pPr>
        <w:pStyle w:val="BodyText"/>
        <w:numPr>
          <w:ilvl w:val="0"/>
          <w:numId w:val="79"/>
        </w:numPr>
        <w:rPr>
          <w:i/>
          <w:iCs/>
        </w:rPr>
      </w:pPr>
      <w:r w:rsidRPr="006F60FF">
        <w:rPr>
          <w:i/>
          <w:iCs/>
        </w:rPr>
        <w:t>G1168</w:t>
      </w:r>
    </w:p>
    <w:p w14:paraId="72F6C1CE" w14:textId="77777777" w:rsidR="006F60FF" w:rsidRPr="006F60FF" w:rsidRDefault="006F60FF" w:rsidP="006F60FF">
      <w:pPr>
        <w:pStyle w:val="BodyText"/>
        <w:numPr>
          <w:ilvl w:val="0"/>
          <w:numId w:val="79"/>
        </w:numPr>
        <w:rPr>
          <w:i/>
          <w:iCs/>
        </w:rPr>
      </w:pPr>
      <w:r w:rsidRPr="006F60FF">
        <w:rPr>
          <w:i/>
          <w:iCs/>
        </w:rPr>
        <w:t>G1005</w:t>
      </w:r>
    </w:p>
    <w:p w14:paraId="7F75F60A" w14:textId="77777777" w:rsidR="006F60FF" w:rsidRPr="006F60FF" w:rsidRDefault="006F60FF" w:rsidP="006F60FF">
      <w:pPr>
        <w:pStyle w:val="BodyText"/>
        <w:numPr>
          <w:ilvl w:val="0"/>
          <w:numId w:val="79"/>
        </w:numPr>
        <w:rPr>
          <w:i/>
          <w:iCs/>
        </w:rPr>
      </w:pPr>
      <w:r w:rsidRPr="006F60FF">
        <w:rPr>
          <w:i/>
          <w:iCs/>
        </w:rPr>
        <w:t>R0126</w:t>
      </w:r>
    </w:p>
    <w:p w14:paraId="6B6CE7B9" w14:textId="77777777" w:rsidR="006F60FF" w:rsidRPr="006F60FF" w:rsidRDefault="006F60FF" w:rsidP="006F60FF">
      <w:pPr>
        <w:pStyle w:val="BodyText"/>
        <w:numPr>
          <w:ilvl w:val="0"/>
          <w:numId w:val="79"/>
        </w:numPr>
        <w:rPr>
          <w:i/>
          <w:iCs/>
        </w:rPr>
      </w:pPr>
      <w:r w:rsidRPr="006F60FF">
        <w:rPr>
          <w:i/>
          <w:iCs/>
        </w:rPr>
        <w:t>R0146</w:t>
      </w:r>
    </w:p>
    <w:p w14:paraId="45023701" w14:textId="77777777" w:rsidR="006F60FF" w:rsidRPr="006F60FF" w:rsidRDefault="006F60FF" w:rsidP="006F60FF">
      <w:pPr>
        <w:pStyle w:val="BodyText"/>
      </w:pPr>
    </w:p>
    <w:sectPr w:rsidR="006F60FF" w:rsidRPr="006F60FF"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B4D57" w14:textId="77777777" w:rsidR="00CF0B43" w:rsidRDefault="00CF0B43" w:rsidP="00362CD9">
      <w:r>
        <w:separator/>
      </w:r>
    </w:p>
  </w:endnote>
  <w:endnote w:type="continuationSeparator" w:id="0">
    <w:p w14:paraId="6452FF92" w14:textId="77777777" w:rsidR="00CF0B43" w:rsidRDefault="00CF0B4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419AD" w14:textId="77777777" w:rsidR="00CF0B43" w:rsidRDefault="00CF0B43" w:rsidP="00362CD9">
      <w:r>
        <w:separator/>
      </w:r>
    </w:p>
  </w:footnote>
  <w:footnote w:type="continuationSeparator" w:id="0">
    <w:p w14:paraId="3E253BF4" w14:textId="77777777" w:rsidR="00CF0B43" w:rsidRDefault="00CF0B43"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C356B69"/>
    <w:multiLevelType w:val="hybridMultilevel"/>
    <w:tmpl w:val="61100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762DC7"/>
    <w:multiLevelType w:val="hybridMultilevel"/>
    <w:tmpl w:val="8D883A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56553560">
    <w:abstractNumId w:val="7"/>
  </w:num>
  <w:num w:numId="2" w16cid:durableId="1878740017">
    <w:abstractNumId w:val="2"/>
  </w:num>
  <w:num w:numId="3" w16cid:durableId="1679431583">
    <w:abstractNumId w:val="18"/>
  </w:num>
  <w:num w:numId="4" w16cid:durableId="1953049627">
    <w:abstractNumId w:val="43"/>
  </w:num>
  <w:num w:numId="5" w16cid:durableId="1194152602">
    <w:abstractNumId w:val="33"/>
  </w:num>
  <w:num w:numId="6" w16cid:durableId="966467473">
    <w:abstractNumId w:val="11"/>
  </w:num>
  <w:num w:numId="7" w16cid:durableId="1557349661">
    <w:abstractNumId w:val="46"/>
  </w:num>
  <w:num w:numId="8" w16cid:durableId="2146729897">
    <w:abstractNumId w:val="26"/>
  </w:num>
  <w:num w:numId="9" w16cid:durableId="1470856972">
    <w:abstractNumId w:val="20"/>
  </w:num>
  <w:num w:numId="10" w16cid:durableId="1712877806">
    <w:abstractNumId w:val="37"/>
  </w:num>
  <w:num w:numId="11" w16cid:durableId="115680990">
    <w:abstractNumId w:val="36"/>
  </w:num>
  <w:num w:numId="12" w16cid:durableId="745683957">
    <w:abstractNumId w:val="32"/>
  </w:num>
  <w:num w:numId="13" w16cid:durableId="1727728259">
    <w:abstractNumId w:val="44"/>
  </w:num>
  <w:num w:numId="14" w16cid:durableId="1456749125">
    <w:abstractNumId w:val="16"/>
  </w:num>
  <w:num w:numId="15" w16cid:durableId="1465389935">
    <w:abstractNumId w:val="50"/>
  </w:num>
  <w:num w:numId="16" w16cid:durableId="1549023806">
    <w:abstractNumId w:val="30"/>
  </w:num>
  <w:num w:numId="17" w16cid:durableId="1450051396">
    <w:abstractNumId w:val="17"/>
  </w:num>
  <w:num w:numId="18" w16cid:durableId="1509490697">
    <w:abstractNumId w:val="40"/>
  </w:num>
  <w:num w:numId="19" w16cid:durableId="582296964">
    <w:abstractNumId w:val="30"/>
  </w:num>
  <w:num w:numId="20" w16cid:durableId="991985029">
    <w:abstractNumId w:val="30"/>
  </w:num>
  <w:num w:numId="21" w16cid:durableId="113449706">
    <w:abstractNumId w:val="30"/>
  </w:num>
  <w:num w:numId="22" w16cid:durableId="1881167615">
    <w:abstractNumId w:val="30"/>
  </w:num>
  <w:num w:numId="23" w16cid:durableId="1868251352">
    <w:abstractNumId w:val="41"/>
  </w:num>
  <w:num w:numId="24" w16cid:durableId="331181545">
    <w:abstractNumId w:val="10"/>
  </w:num>
  <w:num w:numId="25" w16cid:durableId="534850009">
    <w:abstractNumId w:val="10"/>
  </w:num>
  <w:num w:numId="26" w16cid:durableId="366953988">
    <w:abstractNumId w:val="10"/>
  </w:num>
  <w:num w:numId="27" w16cid:durableId="1296330142">
    <w:abstractNumId w:val="22"/>
  </w:num>
  <w:num w:numId="28" w16cid:durableId="1073547942">
    <w:abstractNumId w:val="22"/>
  </w:num>
  <w:num w:numId="29" w16cid:durableId="1450663789">
    <w:abstractNumId w:val="22"/>
  </w:num>
  <w:num w:numId="30" w16cid:durableId="1888292742">
    <w:abstractNumId w:val="22"/>
  </w:num>
  <w:num w:numId="31" w16cid:durableId="63720262">
    <w:abstractNumId w:val="22"/>
  </w:num>
  <w:num w:numId="32" w16cid:durableId="552471990">
    <w:abstractNumId w:val="22"/>
  </w:num>
  <w:num w:numId="33" w16cid:durableId="642194146">
    <w:abstractNumId w:val="38"/>
  </w:num>
  <w:num w:numId="34" w16cid:durableId="1219171393">
    <w:abstractNumId w:val="38"/>
  </w:num>
  <w:num w:numId="35" w16cid:durableId="929966980">
    <w:abstractNumId w:val="38"/>
  </w:num>
  <w:num w:numId="36" w16cid:durableId="62072265">
    <w:abstractNumId w:val="28"/>
  </w:num>
  <w:num w:numId="37" w16cid:durableId="1881820428">
    <w:abstractNumId w:val="16"/>
  </w:num>
  <w:num w:numId="38" w16cid:durableId="753012284">
    <w:abstractNumId w:val="32"/>
  </w:num>
  <w:num w:numId="39" w16cid:durableId="1827474520">
    <w:abstractNumId w:val="30"/>
  </w:num>
  <w:num w:numId="40" w16cid:durableId="22592250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50174098">
    <w:abstractNumId w:val="9"/>
  </w:num>
  <w:num w:numId="42" w16cid:durableId="8167213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7897913">
    <w:abstractNumId w:val="9"/>
  </w:num>
  <w:num w:numId="44" w16cid:durableId="1427657436">
    <w:abstractNumId w:val="29"/>
  </w:num>
  <w:num w:numId="45" w16cid:durableId="605043119">
    <w:abstractNumId w:val="34"/>
  </w:num>
  <w:num w:numId="46" w16cid:durableId="549464674">
    <w:abstractNumId w:val="51"/>
  </w:num>
  <w:num w:numId="47" w16cid:durableId="1865433511">
    <w:abstractNumId w:val="13"/>
  </w:num>
  <w:num w:numId="48" w16cid:durableId="1362316300">
    <w:abstractNumId w:val="21"/>
  </w:num>
  <w:num w:numId="49" w16cid:durableId="1916280803">
    <w:abstractNumId w:val="14"/>
  </w:num>
  <w:num w:numId="50" w16cid:durableId="347680422">
    <w:abstractNumId w:val="12"/>
  </w:num>
  <w:num w:numId="51" w16cid:durableId="1305426420">
    <w:abstractNumId w:val="19"/>
  </w:num>
  <w:num w:numId="52" w16cid:durableId="122627216">
    <w:abstractNumId w:val="45"/>
  </w:num>
  <w:num w:numId="53" w16cid:durableId="871184568">
    <w:abstractNumId w:val="48"/>
  </w:num>
  <w:num w:numId="54" w16cid:durableId="1749770530">
    <w:abstractNumId w:val="15"/>
  </w:num>
  <w:num w:numId="55" w16cid:durableId="75057766">
    <w:abstractNumId w:val="49"/>
  </w:num>
  <w:num w:numId="56" w16cid:durableId="1885830745">
    <w:abstractNumId w:val="42"/>
  </w:num>
  <w:num w:numId="57" w16cid:durableId="354312466">
    <w:abstractNumId w:val="25"/>
  </w:num>
  <w:num w:numId="58" w16cid:durableId="997273392">
    <w:abstractNumId w:val="8"/>
  </w:num>
  <w:num w:numId="59" w16cid:durableId="222256794">
    <w:abstractNumId w:val="6"/>
  </w:num>
  <w:num w:numId="60" w16cid:durableId="1030566348">
    <w:abstractNumId w:val="5"/>
  </w:num>
  <w:num w:numId="61" w16cid:durableId="1428773022">
    <w:abstractNumId w:val="4"/>
  </w:num>
  <w:num w:numId="62" w16cid:durableId="1736583237">
    <w:abstractNumId w:val="3"/>
  </w:num>
  <w:num w:numId="63" w16cid:durableId="2102526175">
    <w:abstractNumId w:val="1"/>
  </w:num>
  <w:num w:numId="64" w16cid:durableId="781388321">
    <w:abstractNumId w:val="0"/>
  </w:num>
  <w:num w:numId="65" w16cid:durableId="146093714">
    <w:abstractNumId w:val="39"/>
  </w:num>
  <w:num w:numId="66" w16cid:durableId="1792941000">
    <w:abstractNumId w:val="47"/>
  </w:num>
  <w:num w:numId="67" w16cid:durableId="238171599">
    <w:abstractNumId w:val="24"/>
  </w:num>
  <w:num w:numId="68" w16cid:durableId="10548937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9247122">
    <w:abstractNumId w:val="23"/>
  </w:num>
  <w:num w:numId="70" w16cid:durableId="1243523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038215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91531379">
    <w:abstractNumId w:val="35"/>
  </w:num>
  <w:num w:numId="73" w16cid:durableId="8021901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90314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60150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74843208">
    <w:abstractNumId w:val="17"/>
  </w:num>
  <w:num w:numId="77" w16cid:durableId="2036078526">
    <w:abstractNumId w:val="27"/>
  </w:num>
  <w:num w:numId="78" w16cid:durableId="20233594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053376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61011"/>
    <w:rsid w:val="00070C13"/>
    <w:rsid w:val="000715C9"/>
    <w:rsid w:val="00084F33"/>
    <w:rsid w:val="000A77A7"/>
    <w:rsid w:val="000B1707"/>
    <w:rsid w:val="000C1B3E"/>
    <w:rsid w:val="000C27EF"/>
    <w:rsid w:val="000C349E"/>
    <w:rsid w:val="000F2416"/>
    <w:rsid w:val="00110203"/>
    <w:rsid w:val="00110AE7"/>
    <w:rsid w:val="001241C8"/>
    <w:rsid w:val="00176476"/>
    <w:rsid w:val="00177F4D"/>
    <w:rsid w:val="00180DDA"/>
    <w:rsid w:val="001B2A2D"/>
    <w:rsid w:val="001B737D"/>
    <w:rsid w:val="001C44A3"/>
    <w:rsid w:val="001C77BB"/>
    <w:rsid w:val="001E0E15"/>
    <w:rsid w:val="001F2039"/>
    <w:rsid w:val="001F528A"/>
    <w:rsid w:val="001F704E"/>
    <w:rsid w:val="00201722"/>
    <w:rsid w:val="00203AC6"/>
    <w:rsid w:val="002125B0"/>
    <w:rsid w:val="00221E08"/>
    <w:rsid w:val="00237D7C"/>
    <w:rsid w:val="00243228"/>
    <w:rsid w:val="00246838"/>
    <w:rsid w:val="00251483"/>
    <w:rsid w:val="00255CAA"/>
    <w:rsid w:val="0025741F"/>
    <w:rsid w:val="00264305"/>
    <w:rsid w:val="002803B2"/>
    <w:rsid w:val="00286FEF"/>
    <w:rsid w:val="002A0346"/>
    <w:rsid w:val="002A0929"/>
    <w:rsid w:val="002A2A4B"/>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46639"/>
    <w:rsid w:val="004533B7"/>
    <w:rsid w:val="004661AD"/>
    <w:rsid w:val="004A267D"/>
    <w:rsid w:val="004C19F2"/>
    <w:rsid w:val="004D1D85"/>
    <w:rsid w:val="004D3C3A"/>
    <w:rsid w:val="004E1CD1"/>
    <w:rsid w:val="004E46F3"/>
    <w:rsid w:val="004F7616"/>
    <w:rsid w:val="0050690E"/>
    <w:rsid w:val="005107EB"/>
    <w:rsid w:val="00521345"/>
    <w:rsid w:val="00526DF0"/>
    <w:rsid w:val="00544315"/>
    <w:rsid w:val="00545CC4"/>
    <w:rsid w:val="00551FFF"/>
    <w:rsid w:val="005607A2"/>
    <w:rsid w:val="0057198B"/>
    <w:rsid w:val="005733AB"/>
    <w:rsid w:val="00573CFE"/>
    <w:rsid w:val="00576FE8"/>
    <w:rsid w:val="00584909"/>
    <w:rsid w:val="005969F2"/>
    <w:rsid w:val="00597FAE"/>
    <w:rsid w:val="005B32A3"/>
    <w:rsid w:val="005C0D44"/>
    <w:rsid w:val="005C566C"/>
    <w:rsid w:val="005C7E69"/>
    <w:rsid w:val="005D752C"/>
    <w:rsid w:val="005E262D"/>
    <w:rsid w:val="005F23D3"/>
    <w:rsid w:val="005F5F42"/>
    <w:rsid w:val="005F7E20"/>
    <w:rsid w:val="00605E43"/>
    <w:rsid w:val="006153BB"/>
    <w:rsid w:val="00635ADD"/>
    <w:rsid w:val="00637047"/>
    <w:rsid w:val="006652C3"/>
    <w:rsid w:val="00691FD0"/>
    <w:rsid w:val="00692148"/>
    <w:rsid w:val="006A1A1E"/>
    <w:rsid w:val="006C5948"/>
    <w:rsid w:val="006E2121"/>
    <w:rsid w:val="006E387A"/>
    <w:rsid w:val="006F2A74"/>
    <w:rsid w:val="006F54F8"/>
    <w:rsid w:val="006F60FF"/>
    <w:rsid w:val="007118F5"/>
    <w:rsid w:val="00712AA4"/>
    <w:rsid w:val="007146C4"/>
    <w:rsid w:val="00721AA1"/>
    <w:rsid w:val="00724B67"/>
    <w:rsid w:val="007547F8"/>
    <w:rsid w:val="00765622"/>
    <w:rsid w:val="00770B6C"/>
    <w:rsid w:val="00774730"/>
    <w:rsid w:val="00783FEA"/>
    <w:rsid w:val="007926DC"/>
    <w:rsid w:val="007A395D"/>
    <w:rsid w:val="007C346C"/>
    <w:rsid w:val="007D63E3"/>
    <w:rsid w:val="007D7661"/>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04376"/>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44CF0"/>
    <w:rsid w:val="00C52A4D"/>
    <w:rsid w:val="00C6171E"/>
    <w:rsid w:val="00C865DF"/>
    <w:rsid w:val="00CA6F2C"/>
    <w:rsid w:val="00CC79CE"/>
    <w:rsid w:val="00CF0B43"/>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11E2E"/>
    <w:rsid w:val="00E22A11"/>
    <w:rsid w:val="00E31E5C"/>
    <w:rsid w:val="00E32C03"/>
    <w:rsid w:val="00E40157"/>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0DF4"/>
    <w:rsid w:val="00F62217"/>
    <w:rsid w:val="00F67424"/>
    <w:rsid w:val="00F71ACC"/>
    <w:rsid w:val="00FB17A9"/>
    <w:rsid w:val="00FB527C"/>
    <w:rsid w:val="00FB6F75"/>
    <w:rsid w:val="00FC0EB3"/>
    <w:rsid w:val="00FD08E2"/>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qFormat/>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385281">
      <w:bodyDiv w:val="1"/>
      <w:marLeft w:val="0"/>
      <w:marRight w:val="0"/>
      <w:marTop w:val="0"/>
      <w:marBottom w:val="0"/>
      <w:divBdr>
        <w:top w:val="none" w:sz="0" w:space="0" w:color="auto"/>
        <w:left w:val="none" w:sz="0" w:space="0" w:color="auto"/>
        <w:bottom w:val="none" w:sz="0" w:space="0" w:color="auto"/>
        <w:right w:val="none" w:sz="0" w:space="0" w:color="auto"/>
      </w:divBdr>
    </w:div>
    <w:div w:id="405344066">
      <w:bodyDiv w:val="1"/>
      <w:marLeft w:val="0"/>
      <w:marRight w:val="0"/>
      <w:marTop w:val="0"/>
      <w:marBottom w:val="0"/>
      <w:divBdr>
        <w:top w:val="none" w:sz="0" w:space="0" w:color="auto"/>
        <w:left w:val="none" w:sz="0" w:space="0" w:color="auto"/>
        <w:bottom w:val="none" w:sz="0" w:space="0" w:color="auto"/>
        <w:right w:val="none" w:sz="0" w:space="0" w:color="auto"/>
      </w:divBdr>
    </w:div>
    <w:div w:id="1665009052">
      <w:bodyDiv w:val="1"/>
      <w:marLeft w:val="0"/>
      <w:marRight w:val="0"/>
      <w:marTop w:val="0"/>
      <w:marBottom w:val="0"/>
      <w:divBdr>
        <w:top w:val="none" w:sz="0" w:space="0" w:color="auto"/>
        <w:left w:val="none" w:sz="0" w:space="0" w:color="auto"/>
        <w:bottom w:val="none" w:sz="0" w:space="0" w:color="auto"/>
        <w:right w:val="none" w:sz="0" w:space="0" w:color="auto"/>
      </w:divBdr>
    </w:div>
    <w:div w:id="1919511671">
      <w:bodyDiv w:val="1"/>
      <w:marLeft w:val="0"/>
      <w:marRight w:val="0"/>
      <w:marTop w:val="0"/>
      <w:marBottom w:val="0"/>
      <w:divBdr>
        <w:top w:val="none" w:sz="0" w:space="0" w:color="auto"/>
        <w:left w:val="none" w:sz="0" w:space="0" w:color="auto"/>
        <w:bottom w:val="none" w:sz="0" w:space="0" w:color="auto"/>
        <w:right w:val="none" w:sz="0" w:space="0" w:color="auto"/>
      </w:divBdr>
    </w:div>
    <w:div w:id="1975058919">
      <w:bodyDiv w:val="1"/>
      <w:marLeft w:val="0"/>
      <w:marRight w:val="0"/>
      <w:marTop w:val="0"/>
      <w:marBottom w:val="0"/>
      <w:divBdr>
        <w:top w:val="none" w:sz="0" w:space="0" w:color="auto"/>
        <w:left w:val="none" w:sz="0" w:space="0" w:color="auto"/>
        <w:bottom w:val="none" w:sz="0" w:space="0" w:color="auto"/>
        <w:right w:val="none" w:sz="0" w:space="0" w:color="auto"/>
      </w:divBdr>
    </w:div>
    <w:div w:id="204598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206D3C68-2EEA-46A2-B79C-8AE290AEF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dcterms:created xsi:type="dcterms:W3CDTF">2025-03-24T09:40:00Z</dcterms:created>
  <dcterms:modified xsi:type="dcterms:W3CDTF">2025-03-24T11:23:00Z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